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0E0439"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注意書</w:t>
      </w:r>
      <w:r w:rsidRPr="00C50826">
        <w:rPr>
          <w:rFonts w:asciiTheme="minorEastAsia" w:hAnsiTheme="minorEastAsia"/>
          <w:sz w:val="20"/>
          <w:szCs w:val="20"/>
        </w:rPr>
        <w:br/>
        <w:t>このページは、視覚障害のある方などで、音声読み上げソフトを使って閲覧される方のために、図、表、写真等を控えて作成したページです。省略した図、表、写真、その他内容の詳細は、所管課へお問合せください。</w:t>
      </w:r>
    </w:p>
    <w:p w14:paraId="3A56F788" w14:textId="77777777" w:rsidR="00C50826" w:rsidRPr="00C50826" w:rsidRDefault="00C50826" w:rsidP="00C50826">
      <w:pPr>
        <w:rPr>
          <w:rFonts w:asciiTheme="minorEastAsia" w:hAnsiTheme="minorEastAsia" w:hint="eastAsia"/>
          <w:sz w:val="20"/>
          <w:szCs w:val="20"/>
        </w:rPr>
      </w:pPr>
    </w:p>
    <w:p w14:paraId="319BD467"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だい2きとよかわしこうきょうしせつとうそうごうかんりけいかく（案）（概要版）</w:t>
      </w:r>
      <w:r w:rsidRPr="00C50826">
        <w:rPr>
          <w:rFonts w:asciiTheme="minorEastAsia" w:hAnsiTheme="minorEastAsia"/>
          <w:sz w:val="20"/>
          <w:szCs w:val="20"/>
        </w:rPr>
        <w:br/>
      </w:r>
    </w:p>
    <w:p w14:paraId="516FB5E4"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賢く使う未来に向けた維持管理計画</w:t>
      </w:r>
      <w:r w:rsidRPr="00C50826">
        <w:rPr>
          <w:rFonts w:asciiTheme="minorEastAsia" w:hAnsiTheme="minorEastAsia"/>
          <w:sz w:val="20"/>
          <w:szCs w:val="20"/>
        </w:rPr>
        <w:br/>
      </w:r>
    </w:p>
    <w:p w14:paraId="6A2EC288"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1 きほんてきじこう</w:t>
      </w:r>
      <w:r w:rsidRPr="00C50826">
        <w:rPr>
          <w:rFonts w:asciiTheme="minorEastAsia" w:hAnsiTheme="minorEastAsia"/>
          <w:sz w:val="20"/>
          <w:szCs w:val="20"/>
        </w:rPr>
        <w:br/>
        <w:t>豊川市公共施設等総合管理計画策定及び改訂の趣旨</w:t>
      </w:r>
      <w:r w:rsidRPr="00C50826">
        <w:rPr>
          <w:rFonts w:asciiTheme="minorEastAsia" w:hAnsiTheme="minorEastAsia"/>
          <w:sz w:val="20"/>
          <w:szCs w:val="20"/>
        </w:rPr>
        <w:br/>
        <w:t>豊川市公共施設等総合管理計画は、平成28 年8 月に公共施設等の更新・統廃合・長寿命化を総合的かつ計画的に行うことを目的に策定し、こざかい、一宮エリアの施設再編プロジェクトや清掃工場設備改良工事、ごしょばし橋梁補修工事、市道しろあと市役所線道路改良工事などを進めてきました。</w:t>
      </w:r>
      <w:r w:rsidRPr="00C50826">
        <w:rPr>
          <w:rFonts w:asciiTheme="minorEastAsia" w:hAnsiTheme="minorEastAsia"/>
          <w:sz w:val="20"/>
          <w:szCs w:val="20"/>
        </w:rPr>
        <w:br/>
        <w:t>計画策定後10 年が経過し、昨今の物価上昇等の影響も踏まえた公共施設マネジメントに関連する状況等の変化や、施設類型ごとに策定された個別施設計画との連携強化を図るため、改訂するものです</w:t>
      </w:r>
      <w:r w:rsidRPr="00C50826">
        <w:rPr>
          <w:rFonts w:asciiTheme="minorEastAsia" w:hAnsiTheme="minorEastAsia"/>
          <w:sz w:val="20"/>
          <w:szCs w:val="20"/>
        </w:rPr>
        <w:br/>
        <w:t>PDF形式の資料では、図表 豊川市公共施設等総合管理計画の位置付け を示していますが、ここでは省略します。</w:t>
      </w:r>
      <w:r w:rsidRPr="00C50826">
        <w:rPr>
          <w:rFonts w:asciiTheme="minorEastAsia" w:hAnsiTheme="minorEastAsia"/>
          <w:sz w:val="20"/>
          <w:szCs w:val="20"/>
        </w:rPr>
        <w:br/>
        <w:t>豊川市公共施設等総合管理計画で対象とする施設</w:t>
      </w:r>
      <w:r w:rsidRPr="00C50826">
        <w:rPr>
          <w:rFonts w:asciiTheme="minorEastAsia" w:hAnsiTheme="minorEastAsia"/>
          <w:sz w:val="20"/>
          <w:szCs w:val="20"/>
        </w:rPr>
        <w:br/>
        <w:t>PDF形式の資料では、図表 豊川市公共施設等総合管理計画で対象とする施設 を示していますが、ここでは省略します</w:t>
      </w:r>
      <w:r w:rsidRPr="00C50826">
        <w:rPr>
          <w:rFonts w:asciiTheme="minorEastAsia" w:hAnsiTheme="minorEastAsia"/>
          <w:sz w:val="20"/>
          <w:szCs w:val="20"/>
        </w:rPr>
        <w:br/>
      </w:r>
    </w:p>
    <w:p w14:paraId="77500E20"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2 保有施設等の現状把握</w:t>
      </w:r>
      <w:r w:rsidRPr="00C50826">
        <w:rPr>
          <w:rFonts w:asciiTheme="minorEastAsia" w:hAnsiTheme="minorEastAsia"/>
          <w:sz w:val="20"/>
          <w:szCs w:val="20"/>
        </w:rPr>
        <w:br/>
      </w:r>
    </w:p>
    <w:p w14:paraId="0B4D5059" w14:textId="30102B0B" w:rsidR="00C50826" w:rsidRDefault="00C50826" w:rsidP="00C50826">
      <w:pPr>
        <w:rPr>
          <w:rFonts w:asciiTheme="minorEastAsia" w:hAnsiTheme="minorEastAsia"/>
          <w:sz w:val="20"/>
          <w:szCs w:val="20"/>
        </w:rPr>
      </w:pPr>
      <w:r w:rsidRPr="00C50826">
        <w:rPr>
          <w:rFonts w:asciiTheme="minorEastAsia" w:hAnsiTheme="minorEastAsia"/>
          <w:sz w:val="20"/>
          <w:szCs w:val="20"/>
        </w:rPr>
        <w:t>公共施設等の現状把握</w:t>
      </w:r>
      <w:r w:rsidRPr="00C50826">
        <w:rPr>
          <w:rFonts w:asciiTheme="minorEastAsia" w:hAnsiTheme="minorEastAsia"/>
          <w:sz w:val="20"/>
          <w:szCs w:val="20"/>
        </w:rPr>
        <w:br/>
        <w:t>公共建築物（保全計画対象）の現状把握</w:t>
      </w:r>
      <w:r w:rsidRPr="00C50826">
        <w:rPr>
          <w:rFonts w:asciiTheme="minorEastAsia" w:hAnsiTheme="minorEastAsia"/>
          <w:sz w:val="20"/>
          <w:szCs w:val="20"/>
        </w:rPr>
        <w:br/>
        <w:t>ほんしの施設類型別の公共建築物ののべゆか面積は、昭和40 年代中頃から昭和60 年代前半まで、学校教育施設の面積が多く占めています。</w:t>
      </w:r>
      <w:r w:rsidRPr="00C50826">
        <w:rPr>
          <w:rFonts w:asciiTheme="minorEastAsia" w:hAnsiTheme="minorEastAsia"/>
          <w:sz w:val="20"/>
          <w:szCs w:val="20"/>
        </w:rPr>
        <w:br/>
        <w:t>耐震基準別ののべゆか面積は、昭和56 年度の建築基準法の改正により、旧耐震基準（昭和56 年度以前）による建築物が229,803 平方メートル（約51％）、新耐震基準（昭和57 年度以降）による建築物が224,607 平方メートル（約49％）となっています。</w:t>
      </w:r>
      <w:r w:rsidRPr="00C50826">
        <w:rPr>
          <w:rFonts w:asciiTheme="minorEastAsia" w:hAnsiTheme="minorEastAsia"/>
          <w:sz w:val="20"/>
          <w:szCs w:val="20"/>
        </w:rPr>
        <w:br/>
        <w:t>PDF形式の資料では、図表 施設類型別のべゆか面積の年度別整備状況を示していますが、ここでは省略します。</w:t>
      </w:r>
      <w:r w:rsidRPr="00C50826">
        <w:rPr>
          <w:rFonts w:asciiTheme="minorEastAsia" w:hAnsiTheme="minorEastAsia"/>
          <w:sz w:val="20"/>
          <w:szCs w:val="20"/>
        </w:rPr>
        <w:br/>
        <w:t>施設類型別ののべゆか面積の割合は、学校施設が最も多く、約49.0％（222,558.7 平方メートル）です。次いで公営住宅施設の約17.1％（77,542.0 平方メートル）となっています。</w:t>
      </w:r>
      <w:r w:rsidRPr="00C50826">
        <w:rPr>
          <w:rFonts w:asciiTheme="minorEastAsia" w:hAnsiTheme="minorEastAsia"/>
          <w:sz w:val="20"/>
          <w:szCs w:val="20"/>
        </w:rPr>
        <w:br/>
        <w:t>PDF形式の資料では、図表 施設類型別のべゆか面積の割合を示していますが、ここでは省略します。</w:t>
      </w:r>
      <w:r w:rsidRPr="00C50826">
        <w:rPr>
          <w:rFonts w:asciiTheme="minorEastAsia" w:hAnsiTheme="minorEastAsia"/>
          <w:sz w:val="20"/>
          <w:szCs w:val="20"/>
        </w:rPr>
        <w:br/>
      </w:r>
    </w:p>
    <w:p w14:paraId="4AD4835B"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公共建築物（保全計画対象外）の現状把握</w:t>
      </w:r>
      <w:r w:rsidRPr="00C50826">
        <w:rPr>
          <w:rFonts w:asciiTheme="minorEastAsia" w:hAnsiTheme="minorEastAsia"/>
          <w:sz w:val="20"/>
          <w:szCs w:val="20"/>
        </w:rPr>
        <w:br/>
        <w:t>公共建築物のうち、豊川市公共施設中長期保全計画の対象外となる施設は、体育施設（無人施設）、市民病院、駐車場、その他（倉庫等）です。</w:t>
      </w:r>
      <w:r w:rsidRPr="00C50826">
        <w:rPr>
          <w:rFonts w:asciiTheme="minorEastAsia" w:hAnsiTheme="minorEastAsia"/>
          <w:sz w:val="20"/>
          <w:szCs w:val="20"/>
        </w:rPr>
        <w:br/>
        <w:t>体育施設（無人施設）は、グラウンド等がメインの施設であり、建築物としては便所や倉庫などがあります。</w:t>
      </w:r>
      <w:r w:rsidRPr="00C50826">
        <w:rPr>
          <w:rFonts w:asciiTheme="minorEastAsia" w:hAnsiTheme="minorEastAsia"/>
          <w:sz w:val="20"/>
          <w:szCs w:val="20"/>
        </w:rPr>
        <w:br/>
        <w:t>市民病院は、大規模な建築物になりますが、市の一般会計とは区分された企業会計です。</w:t>
      </w:r>
      <w:r w:rsidRPr="00C50826">
        <w:rPr>
          <w:rFonts w:asciiTheme="minorEastAsia" w:hAnsiTheme="minorEastAsia"/>
          <w:sz w:val="20"/>
          <w:szCs w:val="20"/>
        </w:rPr>
        <w:br/>
        <w:t>プラント系施設の現状把握</w:t>
      </w:r>
      <w:r w:rsidRPr="00C50826">
        <w:rPr>
          <w:rFonts w:asciiTheme="minorEastAsia" w:hAnsiTheme="minorEastAsia"/>
          <w:sz w:val="20"/>
          <w:szCs w:val="20"/>
        </w:rPr>
        <w:br/>
      </w:r>
      <w:r w:rsidRPr="00C50826">
        <w:rPr>
          <w:rFonts w:asciiTheme="minorEastAsia" w:hAnsiTheme="minorEastAsia"/>
          <w:sz w:val="20"/>
          <w:szCs w:val="20"/>
        </w:rPr>
        <w:lastRenderedPageBreak/>
        <w:t> </w:t>
      </w:r>
      <w:r w:rsidRPr="00C50826">
        <w:rPr>
          <w:rFonts w:asciiTheme="minorEastAsia" w:hAnsiTheme="minorEastAsia"/>
          <w:sz w:val="20"/>
          <w:szCs w:val="20"/>
        </w:rPr>
        <w:br/>
        <w:t>プラント系施設は、衛生処理施設として清掃工場、処理場、最終処分場等があります。また、学校教育施設である給食センターもプラント系施設に分類しています。</w:t>
      </w:r>
      <w:r w:rsidRPr="00C50826">
        <w:rPr>
          <w:rFonts w:asciiTheme="minorEastAsia" w:hAnsiTheme="minorEastAsia"/>
          <w:sz w:val="20"/>
          <w:szCs w:val="20"/>
        </w:rPr>
        <w:br/>
        <w:t>清掃工場は、家庭及び事業所等の一般廃棄物の可燃ごみを焼却処分する施設です。</w:t>
      </w:r>
      <w:r w:rsidRPr="00C50826">
        <w:rPr>
          <w:rFonts w:asciiTheme="minorEastAsia" w:hAnsiTheme="minorEastAsia"/>
          <w:sz w:val="20"/>
          <w:szCs w:val="20"/>
        </w:rPr>
        <w:br/>
        <w:t>処理場は、し尿や浄化槽汚泥を前脱水後、水質規制基準を満たすように希釈し、公共下水道へ放流する施設です。</w:t>
      </w:r>
      <w:r w:rsidRPr="00C50826">
        <w:rPr>
          <w:rFonts w:asciiTheme="minorEastAsia" w:hAnsiTheme="minorEastAsia"/>
          <w:sz w:val="20"/>
          <w:szCs w:val="20"/>
        </w:rPr>
        <w:br/>
        <w:t>最終処分場は、家庭から出される不燃ごみを選別資源物・選別可燃物・埋立物（不燃ごみのざんさ等）の3種類に選別処理（細分化）し、埋立物または可燃物の焼却ざんさ（灰）を埋め立てている場所です。</w:t>
      </w:r>
      <w:r w:rsidRPr="00C50826">
        <w:rPr>
          <w:rFonts w:asciiTheme="minorEastAsia" w:hAnsiTheme="minorEastAsia"/>
          <w:sz w:val="20"/>
          <w:szCs w:val="20"/>
        </w:rPr>
        <w:br/>
        <w:t>給食センターは、学校給食センターと南部学校給食センターがあり、市内の小中学校の給食を調理するための施設です。</w:t>
      </w:r>
      <w:r w:rsidRPr="00C50826">
        <w:rPr>
          <w:rFonts w:asciiTheme="minorEastAsia" w:hAnsiTheme="minorEastAsia"/>
          <w:sz w:val="20"/>
          <w:szCs w:val="20"/>
        </w:rPr>
        <w:br/>
      </w:r>
    </w:p>
    <w:p w14:paraId="43106403"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インフラ系施設の現状把握</w:t>
      </w:r>
      <w:r w:rsidRPr="00C50826">
        <w:rPr>
          <w:rFonts w:asciiTheme="minorEastAsia" w:hAnsiTheme="minorEastAsia"/>
          <w:sz w:val="20"/>
          <w:szCs w:val="20"/>
        </w:rPr>
        <w:br/>
        <w:t>インフラ系施設のうち、主要な分野である橋梁、道路、上水道、下水道の現状を整理します。</w:t>
      </w:r>
      <w:r w:rsidRPr="00C50826">
        <w:rPr>
          <w:rFonts w:asciiTheme="minorEastAsia" w:hAnsiTheme="minorEastAsia"/>
          <w:sz w:val="20"/>
          <w:szCs w:val="20"/>
        </w:rPr>
        <w:br/>
      </w:r>
    </w:p>
    <w:p w14:paraId="486F6012"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橋梁</w:t>
      </w:r>
      <w:r w:rsidRPr="00C50826">
        <w:rPr>
          <w:rFonts w:asciiTheme="minorEastAsia" w:hAnsiTheme="minorEastAsia"/>
          <w:sz w:val="20"/>
          <w:szCs w:val="20"/>
        </w:rPr>
        <w:br/>
        <w:t>橋梁の年代別の整備状況は以下のグラフのとおりです。昭和40年代に多くの橋梁が整備されています。</w:t>
      </w:r>
      <w:r w:rsidRPr="00C50826">
        <w:rPr>
          <w:rFonts w:asciiTheme="minorEastAsia" w:hAnsiTheme="minorEastAsia"/>
          <w:sz w:val="20"/>
          <w:szCs w:val="20"/>
        </w:rPr>
        <w:br/>
        <w:t>PDF形式の資料では、図表 橋梁の年度別構造別整備面積を示していますが、ここでは省略します。</w:t>
      </w:r>
      <w:r w:rsidRPr="00C50826">
        <w:rPr>
          <w:rFonts w:asciiTheme="minorEastAsia" w:hAnsiTheme="minorEastAsia"/>
          <w:sz w:val="20"/>
          <w:szCs w:val="20"/>
        </w:rPr>
        <w:br/>
      </w:r>
    </w:p>
    <w:p w14:paraId="76014C3F"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道路</w:t>
      </w:r>
      <w:r w:rsidRPr="00C50826">
        <w:rPr>
          <w:rFonts w:asciiTheme="minorEastAsia" w:hAnsiTheme="minorEastAsia"/>
          <w:sz w:val="20"/>
          <w:szCs w:val="20"/>
        </w:rPr>
        <w:br/>
        <w:t>道路の整備状況は以下のとおりです。ここで、幹線道路は、1級市道および2級市道とし、生活道路は、その他市道および自転車歩行者道とします。</w:t>
      </w:r>
      <w:r w:rsidRPr="00C50826">
        <w:rPr>
          <w:rFonts w:asciiTheme="minorEastAsia" w:hAnsiTheme="minorEastAsia"/>
          <w:sz w:val="20"/>
          <w:szCs w:val="20"/>
        </w:rPr>
        <w:br/>
        <w:t>幹線道路 整備延長 196,138メートル</w:t>
      </w:r>
      <w:r w:rsidRPr="00C50826">
        <w:rPr>
          <w:rFonts w:asciiTheme="minorEastAsia" w:hAnsiTheme="minorEastAsia"/>
          <w:sz w:val="20"/>
          <w:szCs w:val="20"/>
        </w:rPr>
        <w:br/>
        <w:t>生活道路 整備延長 1,567,082メートル</w:t>
      </w:r>
      <w:r w:rsidRPr="00C50826">
        <w:rPr>
          <w:rFonts w:asciiTheme="minorEastAsia" w:hAnsiTheme="minorEastAsia"/>
          <w:sz w:val="20"/>
          <w:szCs w:val="20"/>
        </w:rPr>
        <w:br/>
      </w:r>
    </w:p>
    <w:p w14:paraId="157A4FFD"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上水道</w:t>
      </w:r>
      <w:r w:rsidRPr="00C50826">
        <w:rPr>
          <w:rFonts w:asciiTheme="minorEastAsia" w:hAnsiTheme="minorEastAsia"/>
          <w:sz w:val="20"/>
          <w:szCs w:val="20"/>
        </w:rPr>
        <w:br/>
        <w:t>上水道の年度別管径別の整備延長は以下のグラフのとおりです。大半が管径300ミリメートル以下の配水管であり、今後、耐用年数40年を超える管が増加していきます。</w:t>
      </w:r>
      <w:r w:rsidRPr="00C50826">
        <w:rPr>
          <w:rFonts w:asciiTheme="minorEastAsia" w:hAnsiTheme="minorEastAsia"/>
          <w:sz w:val="20"/>
          <w:szCs w:val="20"/>
        </w:rPr>
        <w:br/>
        <w:t>PDF形式の資料では、図表 上水道の年度別管径別整備延長を示していますが、ここでは省略します。</w:t>
      </w:r>
      <w:r w:rsidRPr="00C50826">
        <w:rPr>
          <w:rFonts w:asciiTheme="minorEastAsia" w:hAnsiTheme="minorEastAsia"/>
          <w:sz w:val="20"/>
          <w:szCs w:val="20"/>
        </w:rPr>
        <w:br/>
      </w:r>
    </w:p>
    <w:p w14:paraId="19502157"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下水道（汚水）</w:t>
      </w:r>
      <w:r w:rsidRPr="00C50826">
        <w:rPr>
          <w:rFonts w:asciiTheme="minorEastAsia" w:hAnsiTheme="minorEastAsia"/>
          <w:sz w:val="20"/>
          <w:szCs w:val="20"/>
        </w:rPr>
        <w:br/>
        <w:t>下水道（汚水）の年度別管種別の整備延長を以下のグラフに示します。初期の頃はコンクリート管が多く、近年では塩ビ管の割合が大きくなっています。上水道に比べ整備年代が新しく、耐用年数50年を超える管は約4％です。</w:t>
      </w:r>
      <w:r w:rsidRPr="00C50826">
        <w:rPr>
          <w:rFonts w:asciiTheme="minorEastAsia" w:hAnsiTheme="minorEastAsia"/>
          <w:sz w:val="20"/>
          <w:szCs w:val="20"/>
        </w:rPr>
        <w:br/>
        <w:t>PDF形式の資料では、図表 下水道の年度別管種別整備延長を示していますが、ここでは省略します。</w:t>
      </w:r>
      <w:r w:rsidRPr="00C50826">
        <w:rPr>
          <w:rFonts w:asciiTheme="minorEastAsia" w:hAnsiTheme="minorEastAsia"/>
          <w:sz w:val="20"/>
          <w:szCs w:val="20"/>
        </w:rPr>
        <w:br/>
      </w:r>
    </w:p>
    <w:p w14:paraId="6D00A653"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市全体の人口推計</w:t>
      </w:r>
      <w:r w:rsidRPr="00C50826">
        <w:rPr>
          <w:rFonts w:asciiTheme="minorEastAsia" w:hAnsiTheme="minorEastAsia"/>
          <w:sz w:val="20"/>
          <w:szCs w:val="20"/>
        </w:rPr>
        <w:br/>
        <w:t>しゃじんけんの推計では、令和32年度にはほんしの総人口は160,224人となり、平成22年度からの40年間で約88%の水準まで減少すると予測されます。</w:t>
      </w:r>
      <w:r w:rsidRPr="00C50826">
        <w:rPr>
          <w:rFonts w:asciiTheme="minorEastAsia" w:hAnsiTheme="minorEastAsia"/>
          <w:sz w:val="20"/>
          <w:szCs w:val="20"/>
        </w:rPr>
        <w:br/>
        <w:t>一方で、総人口に対する生産年齢人口の割合は、40年間で約11ポイント減少することに対し、老年人口は約14ポイント増加します。これは、1人の高齢者を支える生産年齢人口が3.0人から1.5人にまで減少することを示しています。</w:t>
      </w:r>
      <w:r w:rsidRPr="00C50826">
        <w:rPr>
          <w:rFonts w:asciiTheme="minorEastAsia" w:hAnsiTheme="minorEastAsia"/>
          <w:sz w:val="20"/>
          <w:szCs w:val="20"/>
        </w:rPr>
        <w:br/>
        <w:t>PDF形式の資料では、図表 市全体の将来人口推計の結果を示していますが、ここでは省略します。</w:t>
      </w:r>
      <w:r w:rsidRPr="00C50826">
        <w:rPr>
          <w:rFonts w:asciiTheme="minorEastAsia" w:hAnsiTheme="minorEastAsia"/>
          <w:sz w:val="20"/>
          <w:szCs w:val="20"/>
        </w:rPr>
        <w:br/>
      </w:r>
    </w:p>
    <w:p w14:paraId="21427AAD"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財政収支の見込み</w:t>
      </w:r>
      <w:r w:rsidRPr="00C50826">
        <w:rPr>
          <w:rFonts w:asciiTheme="minorEastAsia" w:hAnsiTheme="minorEastAsia"/>
          <w:sz w:val="20"/>
          <w:szCs w:val="20"/>
        </w:rPr>
        <w:br/>
      </w:r>
    </w:p>
    <w:p w14:paraId="6E24A94B"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歳入の内訳</w:t>
      </w:r>
      <w:r w:rsidRPr="00C50826">
        <w:rPr>
          <w:rFonts w:asciiTheme="minorEastAsia" w:hAnsiTheme="minorEastAsia"/>
          <w:sz w:val="20"/>
          <w:szCs w:val="20"/>
        </w:rPr>
        <w:br/>
        <w:t>市の収入である歳入の内訳では、市税収入が歳入総額の4割程度となっています。</w:t>
      </w:r>
      <w:r w:rsidRPr="00C50826">
        <w:rPr>
          <w:rFonts w:asciiTheme="minorEastAsia" w:hAnsiTheme="minorEastAsia"/>
          <w:sz w:val="20"/>
          <w:szCs w:val="20"/>
        </w:rPr>
        <w:br/>
        <w:t>今後予想される生産年齢人口の減少などの市税収入の減少要因に注意が必要です。</w:t>
      </w:r>
      <w:r w:rsidRPr="00C50826">
        <w:rPr>
          <w:rFonts w:asciiTheme="minorEastAsia" w:hAnsiTheme="minorEastAsia"/>
          <w:sz w:val="20"/>
          <w:szCs w:val="20"/>
        </w:rPr>
        <w:br/>
        <w:t>PDF形式の資料では、図表 歳入見込みを示していますが、ここでは省略します。</w:t>
      </w:r>
      <w:r w:rsidRPr="00C50826">
        <w:rPr>
          <w:rFonts w:asciiTheme="minorEastAsia" w:hAnsiTheme="minorEastAsia"/>
          <w:sz w:val="20"/>
          <w:szCs w:val="20"/>
        </w:rPr>
        <w:br/>
      </w:r>
    </w:p>
    <w:p w14:paraId="2A8B755D"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歳出の内訳</w:t>
      </w:r>
      <w:r w:rsidRPr="00C50826">
        <w:rPr>
          <w:rFonts w:asciiTheme="minorEastAsia" w:hAnsiTheme="minorEastAsia"/>
          <w:sz w:val="20"/>
          <w:szCs w:val="20"/>
        </w:rPr>
        <w:br/>
        <w:t>市の支出である歳出の内訳では、義務的経費が占める割合が5割程度となっています。</w:t>
      </w:r>
      <w:r w:rsidRPr="00C50826">
        <w:rPr>
          <w:rFonts w:asciiTheme="minorEastAsia" w:hAnsiTheme="minorEastAsia"/>
          <w:sz w:val="20"/>
          <w:szCs w:val="20"/>
        </w:rPr>
        <w:br/>
        <w:t>今後、少子高齢化がさらに進むことにより、扶助費等が含まれる義務的経費が増加する傾向です。</w:t>
      </w:r>
      <w:r w:rsidRPr="00C50826">
        <w:rPr>
          <w:rFonts w:asciiTheme="minorEastAsia" w:hAnsiTheme="minorEastAsia"/>
          <w:sz w:val="20"/>
          <w:szCs w:val="20"/>
        </w:rPr>
        <w:br/>
        <w:t>複数の大型建設事業により、令和10年度に投資的経費がピークを迎えます。</w:t>
      </w:r>
      <w:r w:rsidRPr="00C50826">
        <w:rPr>
          <w:rFonts w:asciiTheme="minorEastAsia" w:hAnsiTheme="minorEastAsia"/>
          <w:sz w:val="20"/>
          <w:szCs w:val="20"/>
        </w:rPr>
        <w:br/>
        <w:t>PDF形式の資料では、図表 歳出見込みを示していますが、ここでは省略します。</w:t>
      </w:r>
      <w:r w:rsidRPr="00C50826">
        <w:rPr>
          <w:rFonts w:asciiTheme="minorEastAsia" w:hAnsiTheme="minorEastAsia"/>
          <w:sz w:val="20"/>
          <w:szCs w:val="20"/>
        </w:rPr>
        <w:br/>
      </w:r>
    </w:p>
    <w:p w14:paraId="108B07DE"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3 施設全体の管理方針</w:t>
      </w:r>
      <w:r w:rsidRPr="00C50826">
        <w:rPr>
          <w:rFonts w:asciiTheme="minorEastAsia" w:hAnsiTheme="minorEastAsia"/>
          <w:sz w:val="20"/>
          <w:szCs w:val="20"/>
        </w:rPr>
        <w:br/>
      </w:r>
    </w:p>
    <w:p w14:paraId="292D05AF"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計画の期間</w:t>
      </w:r>
      <w:r w:rsidRPr="00C50826">
        <w:rPr>
          <w:rFonts w:asciiTheme="minorEastAsia" w:hAnsiTheme="minorEastAsia"/>
          <w:sz w:val="20"/>
          <w:szCs w:val="20"/>
        </w:rPr>
        <w:br/>
        <w:t>本計画の計画期間は、平成28年度から令和47年度までの今後50年間とします。</w:t>
      </w:r>
      <w:r w:rsidRPr="00C50826">
        <w:rPr>
          <w:rFonts w:asciiTheme="minorEastAsia" w:hAnsiTheme="minorEastAsia"/>
          <w:sz w:val="20"/>
          <w:szCs w:val="20"/>
        </w:rPr>
        <w:br/>
        <w:t>また、10年間で取り組む施設の管理方針を定めます。</w:t>
      </w:r>
      <w:r w:rsidRPr="00C50826">
        <w:rPr>
          <w:rFonts w:asciiTheme="minorEastAsia" w:hAnsiTheme="minorEastAsia"/>
          <w:sz w:val="20"/>
          <w:szCs w:val="20"/>
        </w:rPr>
        <w:br/>
      </w:r>
    </w:p>
    <w:p w14:paraId="104D3224"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将来の施設更新費用等の試算</w:t>
      </w:r>
      <w:r w:rsidRPr="00C50826">
        <w:rPr>
          <w:rFonts w:asciiTheme="minorEastAsia" w:hAnsiTheme="minorEastAsia"/>
          <w:sz w:val="20"/>
          <w:szCs w:val="20"/>
        </w:rPr>
        <w:br/>
        <w:t>施設の長寿命化によるコストの縮減について</w:t>
      </w:r>
      <w:r w:rsidRPr="00C50826">
        <w:rPr>
          <w:rFonts w:asciiTheme="minorEastAsia" w:hAnsiTheme="minorEastAsia"/>
          <w:sz w:val="20"/>
          <w:szCs w:val="20"/>
        </w:rPr>
        <w:br/>
        <w:t>事後保全型と予防保全型の施設管理のコスト試算を行い、単年度あたりのコストの縮減効果を算出します。</w:t>
      </w:r>
      <w:r w:rsidRPr="00C50826">
        <w:rPr>
          <w:rFonts w:asciiTheme="minorEastAsia" w:hAnsiTheme="minorEastAsia"/>
          <w:sz w:val="20"/>
          <w:szCs w:val="20"/>
        </w:rPr>
        <w:br/>
        <w:t>管理方法により更新までの期間が異なるため、下記の算出式に基づき、コストを算出します</w:t>
      </w:r>
      <w:r w:rsidRPr="00C50826">
        <w:rPr>
          <w:rFonts w:asciiTheme="minorEastAsia" w:hAnsiTheme="minorEastAsia"/>
          <w:sz w:val="20"/>
          <w:szCs w:val="20"/>
        </w:rPr>
        <w:br/>
      </w:r>
    </w:p>
    <w:p w14:paraId="3A49620F"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予防保全とは</w:t>
      </w:r>
      <w:r w:rsidRPr="00C50826">
        <w:rPr>
          <w:rFonts w:asciiTheme="minorEastAsia" w:hAnsiTheme="minorEastAsia"/>
          <w:sz w:val="20"/>
          <w:szCs w:val="20"/>
        </w:rPr>
        <w:br/>
        <w:t>施設を長寿命化するための保全管理の方法で、建物及び設備の異状の有無や兆候を事前に把握・予測することで計画的に改修を行い、故障による停止や事故を防ぎ建築物の部材を適切に保全する方法。</w:t>
      </w:r>
      <w:r w:rsidRPr="00C50826">
        <w:rPr>
          <w:rFonts w:asciiTheme="minorEastAsia" w:hAnsiTheme="minorEastAsia"/>
          <w:sz w:val="20"/>
          <w:szCs w:val="20"/>
        </w:rPr>
        <w:br/>
        <w:t>PDF形式の資料では、図表 単年度当たりの費用算出式を示していますが、ここでは省略します。</w:t>
      </w:r>
      <w:r w:rsidRPr="00C50826">
        <w:rPr>
          <w:rFonts w:asciiTheme="minorEastAsia" w:hAnsiTheme="minorEastAsia"/>
          <w:sz w:val="20"/>
          <w:szCs w:val="20"/>
        </w:rPr>
        <w:br/>
      </w:r>
    </w:p>
    <w:p w14:paraId="3A8D0336"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一般会計の対象となる施設の更新費用等の試算</w:t>
      </w:r>
      <w:r w:rsidRPr="00C50826">
        <w:rPr>
          <w:rFonts w:asciiTheme="minorEastAsia" w:hAnsiTheme="minorEastAsia"/>
          <w:sz w:val="20"/>
          <w:szCs w:val="20"/>
        </w:rPr>
        <w:br/>
        <w:t>PDF形式の資料では、図表 一般会計対象施設の事後保全の更新費用等の試算についてを示していますが、ここでは省略します。</w:t>
      </w:r>
      <w:r w:rsidRPr="00C50826">
        <w:rPr>
          <w:rFonts w:asciiTheme="minorEastAsia" w:hAnsiTheme="minorEastAsia"/>
          <w:sz w:val="20"/>
          <w:szCs w:val="20"/>
        </w:rPr>
        <w:br/>
        <w:t>事後保全の試算結果では、今後40年間で必要となる施設更新費用等は総額で約4,115億円になり、1年当たり約102.9億円になります。</w:t>
      </w:r>
      <w:r w:rsidRPr="00C50826">
        <w:rPr>
          <w:rFonts w:asciiTheme="minorEastAsia" w:hAnsiTheme="minorEastAsia"/>
          <w:sz w:val="20"/>
          <w:szCs w:val="20"/>
        </w:rPr>
        <w:br/>
        <w:t>PDF形式の資料では、図表 一般会計対象施設の予防保全の更新費用等の試算についてを示していますが、ここでは省略します。</w:t>
      </w:r>
      <w:r w:rsidRPr="00C50826">
        <w:rPr>
          <w:rFonts w:asciiTheme="minorEastAsia" w:hAnsiTheme="minorEastAsia"/>
          <w:sz w:val="20"/>
          <w:szCs w:val="20"/>
        </w:rPr>
        <w:br/>
        <w:t>予防保全の試算結果では、今後40年間で必要となる更新投資等は総額で約3,702億円になり、1年当たり約92.6億円になります。</w:t>
      </w:r>
      <w:r w:rsidRPr="00C50826">
        <w:rPr>
          <w:rFonts w:asciiTheme="minorEastAsia" w:hAnsiTheme="minorEastAsia"/>
          <w:sz w:val="20"/>
          <w:szCs w:val="20"/>
        </w:rPr>
        <w:br/>
        <w:t>今後は、施設更新費用等の不足分を補うために、更なるコスト縮減が必要となります。また、新規整備費用は含ま</w:t>
      </w:r>
      <w:r w:rsidRPr="00C50826">
        <w:rPr>
          <w:rFonts w:asciiTheme="minorEastAsia" w:hAnsiTheme="minorEastAsia"/>
          <w:sz w:val="20"/>
          <w:szCs w:val="20"/>
        </w:rPr>
        <w:lastRenderedPageBreak/>
        <w:t>れていないため、新規整備を行う場合は、引続き、整備計画の見直しと共にきぞん施設の縮小の検討をあわせて行う必要があります。</w:t>
      </w:r>
      <w:r w:rsidRPr="00C50826">
        <w:rPr>
          <w:rFonts w:asciiTheme="minorEastAsia" w:hAnsiTheme="minorEastAsia"/>
          <w:sz w:val="20"/>
          <w:szCs w:val="20"/>
        </w:rPr>
        <w:br/>
      </w:r>
    </w:p>
    <w:p w14:paraId="603FED39"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公共建築物（保全計画対象施設）の更新費用等の試算</w:t>
      </w:r>
      <w:r w:rsidRPr="00C50826">
        <w:rPr>
          <w:rFonts w:asciiTheme="minorEastAsia" w:hAnsiTheme="minorEastAsia"/>
          <w:sz w:val="20"/>
          <w:szCs w:val="20"/>
        </w:rPr>
        <w:br/>
        <w:t>PDF形式の資料では、図表 公共建築物（保全計画対象施設）の事後保全の更新費用等の試算についてを示していますが、ここでは省略します。</w:t>
      </w:r>
      <w:r w:rsidRPr="00C50826">
        <w:rPr>
          <w:rFonts w:asciiTheme="minorEastAsia" w:hAnsiTheme="minorEastAsia"/>
          <w:sz w:val="20"/>
          <w:szCs w:val="20"/>
        </w:rPr>
        <w:br/>
        <w:t>事後保全の試算結果では、今後40年間で必要となる施設更新費用等は総額で約2,571億円になり、1年当たり約64.3億円になります。</w:t>
      </w:r>
      <w:r w:rsidRPr="00C50826">
        <w:rPr>
          <w:rFonts w:asciiTheme="minorEastAsia" w:hAnsiTheme="minorEastAsia"/>
          <w:sz w:val="20"/>
          <w:szCs w:val="20"/>
        </w:rPr>
        <w:br/>
        <w:t>PDF形式の資料では、図表 公共建築物（保全計画対象施設）の予防保全の更新費用等の試算についてを示していますが、ここでは省略します。</w:t>
      </w:r>
      <w:r w:rsidRPr="00C50826">
        <w:rPr>
          <w:rFonts w:asciiTheme="minorEastAsia" w:hAnsiTheme="minorEastAsia"/>
          <w:sz w:val="20"/>
          <w:szCs w:val="20"/>
        </w:rPr>
        <w:br/>
        <w:t>予防保全の試算結果では、今後40年間で必要となる施設更新費用等は総額で約2,181億円になり、1年当たり約54.5億円になります。</w:t>
      </w:r>
      <w:r w:rsidRPr="00C50826">
        <w:rPr>
          <w:rFonts w:asciiTheme="minorEastAsia" w:hAnsiTheme="minorEastAsia"/>
          <w:sz w:val="20"/>
          <w:szCs w:val="20"/>
        </w:rPr>
        <w:br/>
        <w:t>PDF形式の資料では、図表 公共建築物（保全計画対象施設）を更新時にのべゆか面積を30%縮減の予防保全の更新費用等の試算についてを示していますが、ここでは省略します。</w:t>
      </w:r>
      <w:r w:rsidRPr="00C50826">
        <w:rPr>
          <w:rFonts w:asciiTheme="minorEastAsia" w:hAnsiTheme="minorEastAsia"/>
          <w:sz w:val="20"/>
          <w:szCs w:val="20"/>
        </w:rPr>
        <w:br/>
        <w:t>さらに、予防保全の試算結果に対して、第2期豊川市公共施設適正配置計画で示す市の保有面積の縮減目標の30％を考慮し、施設の更新時に延べ床面積を30％縮減すると仮定した場合の試算結果では、今後40年間で必要となる施設更新費用等は総額で約1,702億円になり、1年当たり約42.6億円になります。</w:t>
      </w:r>
      <w:r w:rsidRPr="00C50826">
        <w:rPr>
          <w:rFonts w:asciiTheme="minorEastAsia" w:hAnsiTheme="minorEastAsia"/>
          <w:sz w:val="20"/>
          <w:szCs w:val="20"/>
        </w:rPr>
        <w:br/>
      </w:r>
    </w:p>
    <w:p w14:paraId="39478EBC"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基本認識1. 公共施設等の老朽化への対応</w:t>
      </w:r>
      <w:r w:rsidRPr="00C50826">
        <w:rPr>
          <w:rFonts w:asciiTheme="minorEastAsia" w:hAnsiTheme="minorEastAsia"/>
          <w:sz w:val="20"/>
          <w:szCs w:val="20"/>
        </w:rPr>
        <w:br/>
        <w:t>公共建築物 既に60％以上の施設が建設から30年以上経過しています。</w:t>
      </w:r>
      <w:r w:rsidRPr="00C50826">
        <w:rPr>
          <w:rFonts w:asciiTheme="minorEastAsia" w:hAnsiTheme="minorEastAsia"/>
          <w:sz w:val="20"/>
          <w:szCs w:val="20"/>
        </w:rPr>
        <w:br/>
        <w:t>プラント系施設・インフラ系施設 安全・安心な生活を送るために適切に管理が行われている必要があります。</w:t>
      </w:r>
      <w:r w:rsidRPr="00C50826">
        <w:rPr>
          <w:rFonts w:asciiTheme="minorEastAsia" w:hAnsiTheme="minorEastAsia"/>
          <w:sz w:val="20"/>
          <w:szCs w:val="20"/>
        </w:rPr>
        <w:br/>
      </w:r>
    </w:p>
    <w:p w14:paraId="4D830C2A"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基本認識2. 人口減少・少子高齢化への対応</w:t>
      </w:r>
      <w:r w:rsidRPr="00C50826">
        <w:rPr>
          <w:rFonts w:asciiTheme="minorEastAsia" w:hAnsiTheme="minorEastAsia"/>
          <w:sz w:val="20"/>
          <w:szCs w:val="20"/>
        </w:rPr>
        <w:br/>
        <w:t>公共建築物 のべゆか面積を適切な面積とし、新たなニーズへ対応する必要があります。</w:t>
      </w:r>
      <w:r w:rsidRPr="00C50826">
        <w:rPr>
          <w:rFonts w:asciiTheme="minorEastAsia" w:hAnsiTheme="minorEastAsia"/>
          <w:sz w:val="20"/>
          <w:szCs w:val="20"/>
        </w:rPr>
        <w:br/>
        <w:t>プラント系施設・インフラ系施設 都市機能の集約化に伴い、地域の実情に合わせた選択と集中が必要となってきます。</w:t>
      </w:r>
      <w:r w:rsidRPr="00C50826">
        <w:rPr>
          <w:rFonts w:asciiTheme="minorEastAsia" w:hAnsiTheme="minorEastAsia"/>
          <w:sz w:val="20"/>
          <w:szCs w:val="20"/>
        </w:rPr>
        <w:br/>
      </w:r>
    </w:p>
    <w:p w14:paraId="324352D3"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基本認識3. 厳しい財政状況への対応</w:t>
      </w:r>
      <w:r w:rsidRPr="00C50826">
        <w:rPr>
          <w:rFonts w:asciiTheme="minorEastAsia" w:hAnsiTheme="minorEastAsia"/>
          <w:sz w:val="20"/>
          <w:szCs w:val="20"/>
        </w:rPr>
        <w:br/>
        <w:t>公共建築物・プラント系施設・インフラ系施設</w:t>
      </w:r>
      <w:r w:rsidRPr="00C50826">
        <w:rPr>
          <w:rFonts w:asciiTheme="minorEastAsia" w:hAnsiTheme="minorEastAsia"/>
          <w:sz w:val="20"/>
          <w:szCs w:val="20"/>
        </w:rPr>
        <w:br/>
        <w:t>昨今の物価上昇に伴う建設費等の増加に対し、事業計画においては、イニシャルコストだけでなく、維持管理費用等を含めたライフサイクルコストの検証が必要です。</w:t>
      </w:r>
      <w:r w:rsidRPr="00C50826">
        <w:rPr>
          <w:rFonts w:asciiTheme="minorEastAsia" w:hAnsiTheme="minorEastAsia"/>
          <w:sz w:val="20"/>
          <w:szCs w:val="20"/>
        </w:rPr>
        <w:br/>
        <w:t>予防保全的な管理による長寿命化対策により、増加する改修・更新にかかる将来コストの縮減や平準化を図ることに加え、財源の確保や効率的な維持管理に向けた組織体制の構築を図っていく必要があります。</w:t>
      </w:r>
      <w:r w:rsidRPr="00C50826">
        <w:rPr>
          <w:rFonts w:asciiTheme="minorEastAsia" w:hAnsiTheme="minorEastAsia"/>
          <w:sz w:val="20"/>
          <w:szCs w:val="20"/>
        </w:rPr>
        <w:br/>
      </w:r>
    </w:p>
    <w:p w14:paraId="58CD678C" w14:textId="5B0A3941" w:rsidR="00C50826" w:rsidRDefault="00C50826" w:rsidP="00C50826">
      <w:pPr>
        <w:rPr>
          <w:rFonts w:asciiTheme="minorEastAsia" w:hAnsiTheme="minorEastAsia"/>
          <w:sz w:val="20"/>
          <w:szCs w:val="20"/>
        </w:rPr>
      </w:pPr>
      <w:r w:rsidRPr="00C50826">
        <w:rPr>
          <w:rFonts w:asciiTheme="minorEastAsia" w:hAnsiTheme="minorEastAsia"/>
          <w:sz w:val="20"/>
          <w:szCs w:val="20"/>
        </w:rPr>
        <w:t>公共施設等の管理に関する基本的な考え方</w:t>
      </w:r>
      <w:r w:rsidRPr="00C50826">
        <w:rPr>
          <w:rFonts w:asciiTheme="minorEastAsia" w:hAnsiTheme="minorEastAsia"/>
          <w:sz w:val="20"/>
          <w:szCs w:val="20"/>
        </w:rPr>
        <w:br/>
      </w:r>
    </w:p>
    <w:p w14:paraId="680A60A8"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基本的な考え方1. 長寿命化によるライフサイクルコストの縮減</w:t>
      </w:r>
      <w:r w:rsidRPr="00C50826">
        <w:rPr>
          <w:rFonts w:asciiTheme="minorEastAsia" w:hAnsiTheme="minorEastAsia"/>
          <w:sz w:val="20"/>
          <w:szCs w:val="20"/>
        </w:rPr>
        <w:br/>
      </w:r>
    </w:p>
    <w:p w14:paraId="18EFE7C5"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公共建築物</w:t>
      </w:r>
      <w:r w:rsidRPr="00C50826">
        <w:rPr>
          <w:rFonts w:asciiTheme="minorEastAsia" w:hAnsiTheme="minorEastAsia"/>
          <w:sz w:val="20"/>
          <w:szCs w:val="20"/>
        </w:rPr>
        <w:br/>
        <w:t>効率的な維持管理を実践することでライフサイクルコストの縮減を図ります。</w:t>
      </w:r>
      <w:r w:rsidRPr="00C50826">
        <w:rPr>
          <w:rFonts w:asciiTheme="minorEastAsia" w:hAnsiTheme="minorEastAsia"/>
          <w:sz w:val="20"/>
          <w:szCs w:val="20"/>
        </w:rPr>
        <w:br/>
      </w:r>
    </w:p>
    <w:p w14:paraId="48AB8CB4"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プラント系施設・インフラ系施設</w:t>
      </w:r>
      <w:r w:rsidRPr="00C50826">
        <w:rPr>
          <w:rFonts w:asciiTheme="minorEastAsia" w:hAnsiTheme="minorEastAsia"/>
          <w:sz w:val="20"/>
          <w:szCs w:val="20"/>
        </w:rPr>
        <w:br/>
        <w:t>予防保全の対象施設については適切に実践し、ライフサイクルコストの縮減を図っていきます。</w:t>
      </w:r>
      <w:r w:rsidRPr="00C50826">
        <w:rPr>
          <w:rFonts w:asciiTheme="minorEastAsia" w:hAnsiTheme="minorEastAsia"/>
          <w:sz w:val="20"/>
          <w:szCs w:val="20"/>
        </w:rPr>
        <w:br/>
      </w:r>
    </w:p>
    <w:p w14:paraId="0A0C0632"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基本的な考え方2. 統廃合・複合化の推進による保有施設総量の適正化</w:t>
      </w:r>
      <w:r w:rsidRPr="00C50826">
        <w:rPr>
          <w:rFonts w:asciiTheme="minorEastAsia" w:hAnsiTheme="minorEastAsia"/>
          <w:sz w:val="20"/>
          <w:szCs w:val="20"/>
        </w:rPr>
        <w:br/>
      </w:r>
    </w:p>
    <w:p w14:paraId="30BC4FF0"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公共建築物 余裕施設や遊休土地の有効活用を図ります。また、施設の多機能化・複合化の推進や地区間の施設配置の均等性を図りながら、引続き豊川市公共施設適正配置計画で示す令和47年までで公共建築物のトータルコスト43％縮減、保有面積30％縮減を目標とします。</w:t>
      </w:r>
      <w:r w:rsidRPr="00C50826">
        <w:rPr>
          <w:rFonts w:asciiTheme="minorEastAsia" w:hAnsiTheme="minorEastAsia"/>
          <w:sz w:val="20"/>
          <w:szCs w:val="20"/>
        </w:rPr>
        <w:br/>
      </w:r>
    </w:p>
    <w:p w14:paraId="2E201252"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プラント系施設・インフラ系施設 都市機能誘導地域及び居住誘導地域以外では、インフラ系施設の縮小も市民生活への影響や周辺地域との繋がりを考慮しながら検討していきます。</w:t>
      </w:r>
      <w:r w:rsidRPr="00C50826">
        <w:rPr>
          <w:rFonts w:asciiTheme="minorEastAsia" w:hAnsiTheme="minorEastAsia"/>
          <w:sz w:val="20"/>
          <w:szCs w:val="20"/>
        </w:rPr>
        <w:br/>
      </w:r>
    </w:p>
    <w:p w14:paraId="74CC1FEC" w14:textId="55F188F5" w:rsidR="00C50826" w:rsidRDefault="00C50826" w:rsidP="00C50826">
      <w:pPr>
        <w:rPr>
          <w:rFonts w:asciiTheme="minorEastAsia" w:hAnsiTheme="minorEastAsia"/>
          <w:sz w:val="20"/>
          <w:szCs w:val="20"/>
        </w:rPr>
      </w:pPr>
      <w:r w:rsidRPr="00C50826">
        <w:rPr>
          <w:rFonts w:asciiTheme="minorEastAsia" w:hAnsiTheme="minorEastAsia"/>
          <w:sz w:val="20"/>
          <w:szCs w:val="20"/>
        </w:rPr>
        <w:t>基本的な考え方3. 公共施設等の総合管理体制の確立と財源の確保</w:t>
      </w:r>
      <w:r w:rsidRPr="00C50826">
        <w:rPr>
          <w:rFonts w:asciiTheme="minorEastAsia" w:hAnsiTheme="minorEastAsia"/>
          <w:sz w:val="20"/>
          <w:szCs w:val="20"/>
        </w:rPr>
        <w:br/>
      </w:r>
    </w:p>
    <w:p w14:paraId="7E53094A"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公共建築物</w:t>
      </w:r>
      <w:r w:rsidRPr="00C50826">
        <w:rPr>
          <w:rFonts w:asciiTheme="minorEastAsia" w:hAnsiTheme="minorEastAsia"/>
          <w:sz w:val="20"/>
          <w:szCs w:val="20"/>
        </w:rPr>
        <w:br/>
        <w:t>発注事務の効率化や維持管理水準の平均化など一元的な公共施設の総合管理を行い、市民の安全確保を図ります。</w:t>
      </w:r>
      <w:r w:rsidRPr="00C50826">
        <w:rPr>
          <w:rFonts w:asciiTheme="minorEastAsia" w:hAnsiTheme="minorEastAsia"/>
          <w:sz w:val="20"/>
          <w:szCs w:val="20"/>
        </w:rPr>
        <w:br/>
      </w:r>
    </w:p>
    <w:p w14:paraId="3A2B6880"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プラント系施設・インフラ系施設</w:t>
      </w:r>
      <w:r w:rsidRPr="00C50826">
        <w:rPr>
          <w:rFonts w:asciiTheme="minorEastAsia" w:hAnsiTheme="minorEastAsia"/>
          <w:sz w:val="20"/>
          <w:szCs w:val="20"/>
        </w:rPr>
        <w:br/>
        <w:t>安全確保に取り組みながら、人口減少等の変化に応じて、財政状況に応じた総量の適正化を検討することが必要です。</w:t>
      </w:r>
      <w:r w:rsidRPr="00C50826">
        <w:rPr>
          <w:rFonts w:asciiTheme="minorEastAsia" w:hAnsiTheme="minorEastAsia"/>
          <w:sz w:val="20"/>
          <w:szCs w:val="20"/>
        </w:rPr>
        <w:br/>
      </w:r>
    </w:p>
    <w:p w14:paraId="06E909DC"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豊川市全体の基本方針</w:t>
      </w:r>
      <w:r w:rsidRPr="00C50826">
        <w:rPr>
          <w:rFonts w:asciiTheme="minorEastAsia" w:hAnsiTheme="minorEastAsia"/>
          <w:sz w:val="20"/>
          <w:szCs w:val="20"/>
        </w:rPr>
        <w:br/>
        <w:t>基本的な方針として、1.点検・診断等の実施方針、2.維持管理・修繕・更新の実施方針、3.安全確保の実施方針、4.耐震化の実施方針、5.長寿命化の実施方針、6.統合や廃止の推進方針、7.総合的かつ計画的な管理を実現するための体制の構築方針、8.ユニバーサルデザイン化の推進方針、9.脱炭素化の推進方針の推進方針について、豊川市全体の方針を示します</w:t>
      </w:r>
      <w:r w:rsidRPr="00C50826">
        <w:rPr>
          <w:rFonts w:asciiTheme="minorEastAsia" w:hAnsiTheme="minorEastAsia"/>
          <w:sz w:val="20"/>
          <w:szCs w:val="20"/>
        </w:rPr>
        <w:br/>
        <w:t>PDF形式の資料では、図表 施設の基本方針を示していますが、ここでは省略します。</w:t>
      </w:r>
      <w:r w:rsidRPr="00C50826">
        <w:rPr>
          <w:rFonts w:asciiTheme="minorEastAsia" w:hAnsiTheme="minorEastAsia"/>
          <w:sz w:val="20"/>
          <w:szCs w:val="20"/>
        </w:rPr>
        <w:br/>
      </w:r>
    </w:p>
    <w:p w14:paraId="596799AB"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4 施設類型ごとの基本方針</w:t>
      </w:r>
      <w:r w:rsidRPr="00C50826">
        <w:rPr>
          <w:rFonts w:asciiTheme="minorEastAsia" w:hAnsiTheme="minorEastAsia"/>
          <w:sz w:val="20"/>
          <w:szCs w:val="20"/>
        </w:rPr>
        <w:br/>
      </w:r>
    </w:p>
    <w:p w14:paraId="7095B787" w14:textId="3AAEA7C9" w:rsidR="00C50826" w:rsidRDefault="00C50826" w:rsidP="00C50826">
      <w:pPr>
        <w:rPr>
          <w:rFonts w:asciiTheme="minorEastAsia" w:hAnsiTheme="minorEastAsia"/>
          <w:sz w:val="20"/>
          <w:szCs w:val="20"/>
        </w:rPr>
      </w:pPr>
      <w:r w:rsidRPr="00C50826">
        <w:rPr>
          <w:rFonts w:asciiTheme="minorEastAsia" w:hAnsiTheme="minorEastAsia"/>
          <w:sz w:val="20"/>
          <w:szCs w:val="20"/>
        </w:rPr>
        <w:t>(1)こうきょうけんちくぶつ（ほぜんけいかくたいしょうしせつ）</w:t>
      </w:r>
      <w:r w:rsidRPr="00C50826">
        <w:rPr>
          <w:rFonts w:asciiTheme="minorEastAsia" w:hAnsiTheme="minorEastAsia"/>
          <w:sz w:val="20"/>
          <w:szCs w:val="20"/>
        </w:rPr>
        <w:br/>
        <w:t>施設類型ごとの基本方針として、1.点検・診断等の実施方針、2.維持管理・修繕・更新の実施方針、3.安全確保の実施方針、4.耐震化の実施方針、7.総合的かつ計画的な管理を実現するための体制の構築方針、8.ユニバーサルデザイン化の推進方針、9.脱炭素化の推進方針については、市内の公共建築物全体で統一した方針とするため、市全体の方針と同様とします。</w:t>
      </w:r>
      <w:r w:rsidRPr="00C50826">
        <w:rPr>
          <w:rFonts w:asciiTheme="minorEastAsia" w:hAnsiTheme="minorEastAsia"/>
          <w:sz w:val="20"/>
          <w:szCs w:val="20"/>
        </w:rPr>
        <w:br/>
        <w:t>PDF形式の資料では、図表 公共建築物（保全計画対象施設）の方針を示していますが、ここでは省略します。</w:t>
      </w:r>
      <w:r w:rsidRPr="00C50826">
        <w:rPr>
          <w:rFonts w:asciiTheme="minorEastAsia" w:hAnsiTheme="minorEastAsia"/>
          <w:sz w:val="20"/>
          <w:szCs w:val="20"/>
        </w:rPr>
        <w:br/>
      </w:r>
    </w:p>
    <w:p w14:paraId="03E95F7B"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(2)プラント施設</w:t>
      </w:r>
      <w:r w:rsidRPr="00C50826">
        <w:rPr>
          <w:rFonts w:asciiTheme="minorEastAsia" w:hAnsiTheme="minorEastAsia"/>
          <w:sz w:val="20"/>
          <w:szCs w:val="20"/>
        </w:rPr>
        <w:br/>
        <w:t>施設類型ごとの基本方針として、特に重要な4.耐震化の実施方針、5.長寿命化の実施方針について、以下に示しま</w:t>
      </w:r>
      <w:r w:rsidRPr="00C50826">
        <w:rPr>
          <w:rFonts w:asciiTheme="minorEastAsia" w:hAnsiTheme="minorEastAsia"/>
          <w:sz w:val="20"/>
          <w:szCs w:val="20"/>
        </w:rPr>
        <w:lastRenderedPageBreak/>
        <w:t>す。</w:t>
      </w:r>
      <w:r w:rsidRPr="00C50826">
        <w:rPr>
          <w:rFonts w:asciiTheme="minorEastAsia" w:hAnsiTheme="minorEastAsia"/>
          <w:sz w:val="20"/>
          <w:szCs w:val="20"/>
        </w:rPr>
        <w:br/>
        <w:t>PDF形式の資料では、図表 プラント系施設の方針を示していますが、ここでは省略します。</w:t>
      </w:r>
      <w:r w:rsidRPr="00C50826">
        <w:rPr>
          <w:rFonts w:asciiTheme="minorEastAsia" w:hAnsiTheme="minorEastAsia"/>
          <w:sz w:val="20"/>
          <w:szCs w:val="20"/>
        </w:rPr>
        <w:br/>
      </w:r>
    </w:p>
    <w:p w14:paraId="54EF0EFE"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(3)こうきょうけんちくぶつ（ほぜんけいかくたいしょうがいしせつ）</w:t>
      </w:r>
      <w:r w:rsidRPr="00C50826">
        <w:rPr>
          <w:rFonts w:asciiTheme="minorEastAsia" w:hAnsiTheme="minorEastAsia"/>
          <w:sz w:val="20"/>
          <w:szCs w:val="20"/>
        </w:rPr>
        <w:br/>
        <w:t>施設類型ごとの基本方針として、特に重要な5.長寿命化の実施方針、6.統合や廃止の推進方針について、以下に示します。</w:t>
      </w:r>
      <w:r w:rsidRPr="00C50826">
        <w:rPr>
          <w:rFonts w:asciiTheme="minorEastAsia" w:hAnsiTheme="minorEastAsia"/>
          <w:sz w:val="20"/>
          <w:szCs w:val="20"/>
        </w:rPr>
        <w:br/>
        <w:t>PDF形式の資料では、図表 公共建築物（保全計画外対象施設）の方針を示していますが、ここでは省略します。</w:t>
      </w:r>
      <w:r w:rsidRPr="00C50826">
        <w:rPr>
          <w:rFonts w:asciiTheme="minorEastAsia" w:hAnsiTheme="minorEastAsia"/>
          <w:sz w:val="20"/>
          <w:szCs w:val="20"/>
        </w:rPr>
        <w:br/>
      </w:r>
    </w:p>
    <w:p w14:paraId="2DA703EE"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(4)インフラ系施設</w:t>
      </w:r>
      <w:r w:rsidRPr="00C50826">
        <w:rPr>
          <w:rFonts w:asciiTheme="minorEastAsia" w:hAnsiTheme="minorEastAsia"/>
          <w:sz w:val="20"/>
          <w:szCs w:val="20"/>
        </w:rPr>
        <w:br/>
        <w:t>施設類型ごとの基本方針として、特に重要な4.耐震化の実施方針、5.長寿命化の実施方針について、以下に示します。</w:t>
      </w:r>
      <w:r w:rsidRPr="00C50826">
        <w:rPr>
          <w:rFonts w:asciiTheme="minorEastAsia" w:hAnsiTheme="minorEastAsia"/>
          <w:sz w:val="20"/>
          <w:szCs w:val="20"/>
        </w:rPr>
        <w:br/>
        <w:t>PDF形式の資料では、図表 インフラ系施設の方針を示していますが、ここでは省略します。</w:t>
      </w:r>
      <w:r w:rsidRPr="00C50826">
        <w:rPr>
          <w:rFonts w:asciiTheme="minorEastAsia" w:hAnsiTheme="minorEastAsia"/>
          <w:sz w:val="20"/>
          <w:szCs w:val="20"/>
        </w:rPr>
        <w:br/>
      </w:r>
    </w:p>
    <w:p w14:paraId="0D085FEE"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5 今後の計画の推進に向けて</w:t>
      </w:r>
      <w:r w:rsidRPr="00C50826">
        <w:rPr>
          <w:rFonts w:asciiTheme="minorEastAsia" w:hAnsiTheme="minorEastAsia"/>
          <w:sz w:val="20"/>
          <w:szCs w:val="20"/>
        </w:rPr>
        <w:br/>
      </w:r>
    </w:p>
    <w:p w14:paraId="75B6184D"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関係各課との連携</w:t>
      </w:r>
      <w:r w:rsidRPr="00C50826">
        <w:rPr>
          <w:rFonts w:asciiTheme="minorEastAsia" w:hAnsiTheme="minorEastAsia"/>
          <w:sz w:val="20"/>
          <w:szCs w:val="20"/>
        </w:rPr>
        <w:br/>
        <w:t>企画部門での政策立案、財政部門での予算編成にあたっては、引続き、本計画の推進を担う財産部門との連携を強化します。また、財産部門と、実際の改修・更新等の施工及び維持保全を行う関係各課との連携体制により、関係各課は、それぞれが管理する個別施設について、個別施設計画（長寿命化計画等）の見直し等を行います。</w:t>
      </w:r>
      <w:r w:rsidRPr="00C50826">
        <w:rPr>
          <w:rFonts w:asciiTheme="minorEastAsia" w:hAnsiTheme="minorEastAsia"/>
          <w:sz w:val="20"/>
          <w:szCs w:val="20"/>
        </w:rPr>
        <w:br/>
      </w:r>
    </w:p>
    <w:p w14:paraId="5C893A51" w14:textId="77777777" w:rsidR="00C50826" w:rsidRDefault="00C50826" w:rsidP="00C50826">
      <w:pPr>
        <w:rPr>
          <w:rFonts w:asciiTheme="minorEastAsia" w:hAnsiTheme="minorEastAsia"/>
          <w:sz w:val="20"/>
          <w:szCs w:val="20"/>
        </w:rPr>
      </w:pPr>
      <w:r w:rsidRPr="00C50826">
        <w:rPr>
          <w:rFonts w:asciiTheme="minorEastAsia" w:hAnsiTheme="minorEastAsia"/>
          <w:sz w:val="20"/>
          <w:szCs w:val="20"/>
        </w:rPr>
        <w:t>進捗状況の管理</w:t>
      </w:r>
      <w:r w:rsidRPr="00C50826">
        <w:rPr>
          <w:rFonts w:asciiTheme="minorEastAsia" w:hAnsiTheme="minorEastAsia"/>
          <w:sz w:val="20"/>
          <w:szCs w:val="20"/>
        </w:rPr>
        <w:br/>
        <w:t>本計画は、公共施設等の一体的、総合的なマネジメントの推進を図るものとなるため、PDCAサイクルの考え方に基づき、計画の確実な推進を図ります。</w:t>
      </w:r>
      <w:r w:rsidRPr="00C50826">
        <w:rPr>
          <w:rFonts w:asciiTheme="minorEastAsia" w:hAnsiTheme="minorEastAsia"/>
          <w:sz w:val="20"/>
          <w:szCs w:val="20"/>
        </w:rPr>
        <w:br/>
      </w:r>
    </w:p>
    <w:p w14:paraId="2AD92438" w14:textId="178F11BD" w:rsidR="008201C1" w:rsidRPr="00C50826" w:rsidRDefault="00C50826" w:rsidP="00C50826">
      <w:pPr>
        <w:rPr>
          <w:rFonts w:asciiTheme="minorEastAsia" w:hAnsiTheme="minorEastAsia" w:hint="eastAsia"/>
          <w:sz w:val="20"/>
          <w:szCs w:val="20"/>
        </w:rPr>
      </w:pPr>
      <w:r w:rsidRPr="00C50826">
        <w:rPr>
          <w:rFonts w:asciiTheme="minorEastAsia" w:hAnsiTheme="minorEastAsia"/>
          <w:sz w:val="20"/>
          <w:szCs w:val="20"/>
        </w:rPr>
        <w:t>市民との問題意識の共有と協働について</w:t>
      </w:r>
      <w:r w:rsidRPr="00C50826">
        <w:rPr>
          <w:rFonts w:asciiTheme="minorEastAsia" w:hAnsiTheme="minorEastAsia"/>
          <w:sz w:val="20"/>
          <w:szCs w:val="20"/>
        </w:rPr>
        <w:br/>
        <w:t>公共施設等に関する問題意識を共有するために、引続き、地域の方々を交えた検討委員会や、住民説明会等を通して、相互に連携・協働していく取組を進めていきます。</w:t>
      </w:r>
    </w:p>
    <w:sectPr w:rsidR="008201C1" w:rsidRPr="00C50826" w:rsidSect="00FC1BCF">
      <w:pgSz w:w="11906" w:h="16838" w:code="9"/>
      <w:pgMar w:top="1134" w:right="851" w:bottom="1134" w:left="851" w:header="851" w:footer="340"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D8FCC" w14:textId="77777777" w:rsidR="00693133" w:rsidRDefault="00693133" w:rsidP="00FC1BCF">
      <w:r>
        <w:separator/>
      </w:r>
    </w:p>
  </w:endnote>
  <w:endnote w:type="continuationSeparator" w:id="0">
    <w:p w14:paraId="379B6625" w14:textId="77777777" w:rsidR="00693133" w:rsidRDefault="00693133" w:rsidP="00FC1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7B473" w14:textId="77777777" w:rsidR="00693133" w:rsidRDefault="00693133" w:rsidP="00FC1BCF">
      <w:r>
        <w:separator/>
      </w:r>
    </w:p>
  </w:footnote>
  <w:footnote w:type="continuationSeparator" w:id="0">
    <w:p w14:paraId="7E4A8490" w14:textId="77777777" w:rsidR="00693133" w:rsidRDefault="00693133" w:rsidP="00FC1B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33"/>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594"/>
    <w:rsid w:val="001441C2"/>
    <w:rsid w:val="00190C5C"/>
    <w:rsid w:val="001C146B"/>
    <w:rsid w:val="00221E66"/>
    <w:rsid w:val="00255CE3"/>
    <w:rsid w:val="002E2F3E"/>
    <w:rsid w:val="00394BBC"/>
    <w:rsid w:val="003A45E5"/>
    <w:rsid w:val="003B7A15"/>
    <w:rsid w:val="003D22B4"/>
    <w:rsid w:val="003F621B"/>
    <w:rsid w:val="00437077"/>
    <w:rsid w:val="00693133"/>
    <w:rsid w:val="00771C4F"/>
    <w:rsid w:val="0078127C"/>
    <w:rsid w:val="007D6A8E"/>
    <w:rsid w:val="008201C1"/>
    <w:rsid w:val="008D2C46"/>
    <w:rsid w:val="009310CB"/>
    <w:rsid w:val="00945230"/>
    <w:rsid w:val="00974904"/>
    <w:rsid w:val="00A80372"/>
    <w:rsid w:val="00A86B45"/>
    <w:rsid w:val="00AA1BE1"/>
    <w:rsid w:val="00AA4477"/>
    <w:rsid w:val="00AB6BF3"/>
    <w:rsid w:val="00B56225"/>
    <w:rsid w:val="00C1418E"/>
    <w:rsid w:val="00C50826"/>
    <w:rsid w:val="00C91594"/>
    <w:rsid w:val="00CA7E33"/>
    <w:rsid w:val="00D0236B"/>
    <w:rsid w:val="00D269D0"/>
    <w:rsid w:val="00DA7C31"/>
    <w:rsid w:val="00DB5B6E"/>
    <w:rsid w:val="00DC11C4"/>
    <w:rsid w:val="00DD5E51"/>
    <w:rsid w:val="00E30BD0"/>
    <w:rsid w:val="00EB3765"/>
    <w:rsid w:val="00EB73A9"/>
    <w:rsid w:val="00EF11B4"/>
    <w:rsid w:val="00F128A4"/>
    <w:rsid w:val="00FC1BCF"/>
    <w:rsid w:val="00FE662F"/>
    <w:rsid w:val="00FF4B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6E69ED"/>
  <w15:chartTrackingRefBased/>
  <w15:docId w15:val="{1BC846E3-FDE3-46F7-A61D-98D165A7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BCF"/>
    <w:pPr>
      <w:widowControl w:val="0"/>
      <w:jc w:val="both"/>
    </w:pPr>
    <w:rPr>
      <w14:ligatures w14:val="none"/>
    </w:rPr>
  </w:style>
  <w:style w:type="paragraph" w:styleId="1">
    <w:name w:val="heading 1"/>
    <w:basedOn w:val="a"/>
    <w:next w:val="a"/>
    <w:link w:val="10"/>
    <w:uiPriority w:val="9"/>
    <w:qFormat/>
    <w:rsid w:val="00C91594"/>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C91594"/>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C91594"/>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C91594"/>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C91594"/>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C91594"/>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C91594"/>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C91594"/>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C91594"/>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9159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9159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9159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9159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9159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9159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9159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9159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9159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91594"/>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C915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91594"/>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C9159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91594"/>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C91594"/>
    <w:rPr>
      <w:i/>
      <w:iCs/>
      <w:color w:val="404040" w:themeColor="text1" w:themeTint="BF"/>
    </w:rPr>
  </w:style>
  <w:style w:type="paragraph" w:styleId="a9">
    <w:name w:val="List Paragraph"/>
    <w:basedOn w:val="a"/>
    <w:uiPriority w:val="34"/>
    <w:qFormat/>
    <w:rsid w:val="00C91594"/>
    <w:pPr>
      <w:ind w:left="720"/>
      <w:contextualSpacing/>
    </w:pPr>
    <w:rPr>
      <w14:ligatures w14:val="standardContextual"/>
    </w:rPr>
  </w:style>
  <w:style w:type="character" w:styleId="21">
    <w:name w:val="Intense Emphasis"/>
    <w:basedOn w:val="a0"/>
    <w:uiPriority w:val="21"/>
    <w:qFormat/>
    <w:rsid w:val="00C91594"/>
    <w:rPr>
      <w:i/>
      <w:iCs/>
      <w:color w:val="0F4761" w:themeColor="accent1" w:themeShade="BF"/>
    </w:rPr>
  </w:style>
  <w:style w:type="paragraph" w:styleId="22">
    <w:name w:val="Intense Quote"/>
    <w:basedOn w:val="a"/>
    <w:next w:val="a"/>
    <w:link w:val="23"/>
    <w:uiPriority w:val="30"/>
    <w:qFormat/>
    <w:rsid w:val="00C915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C91594"/>
    <w:rPr>
      <w:i/>
      <w:iCs/>
      <w:color w:val="0F4761" w:themeColor="accent1" w:themeShade="BF"/>
    </w:rPr>
  </w:style>
  <w:style w:type="character" w:styleId="24">
    <w:name w:val="Intense Reference"/>
    <w:basedOn w:val="a0"/>
    <w:uiPriority w:val="32"/>
    <w:qFormat/>
    <w:rsid w:val="00C91594"/>
    <w:rPr>
      <w:b/>
      <w:bCs/>
      <w:smallCaps/>
      <w:color w:val="0F4761" w:themeColor="accent1" w:themeShade="BF"/>
      <w:spacing w:val="5"/>
    </w:rPr>
  </w:style>
  <w:style w:type="paragraph" w:styleId="aa">
    <w:name w:val="header"/>
    <w:basedOn w:val="a"/>
    <w:link w:val="ab"/>
    <w:uiPriority w:val="99"/>
    <w:unhideWhenUsed/>
    <w:rsid w:val="00FC1BCF"/>
    <w:pPr>
      <w:tabs>
        <w:tab w:val="center" w:pos="4252"/>
        <w:tab w:val="right" w:pos="8504"/>
      </w:tabs>
      <w:snapToGrid w:val="0"/>
    </w:pPr>
    <w:rPr>
      <w14:ligatures w14:val="standardContextual"/>
    </w:rPr>
  </w:style>
  <w:style w:type="character" w:customStyle="1" w:styleId="ab">
    <w:name w:val="ヘッダー (文字)"/>
    <w:basedOn w:val="a0"/>
    <w:link w:val="aa"/>
    <w:uiPriority w:val="99"/>
    <w:rsid w:val="00FC1BCF"/>
  </w:style>
  <w:style w:type="paragraph" w:styleId="ac">
    <w:name w:val="footer"/>
    <w:basedOn w:val="a"/>
    <w:link w:val="ad"/>
    <w:uiPriority w:val="99"/>
    <w:unhideWhenUsed/>
    <w:rsid w:val="00FC1BCF"/>
    <w:pPr>
      <w:tabs>
        <w:tab w:val="center" w:pos="4252"/>
        <w:tab w:val="right" w:pos="8504"/>
      </w:tabs>
      <w:snapToGrid w:val="0"/>
    </w:pPr>
    <w:rPr>
      <w14:ligatures w14:val="standardContextual"/>
    </w:rPr>
  </w:style>
  <w:style w:type="character" w:customStyle="1" w:styleId="ad">
    <w:name w:val="フッター (文字)"/>
    <w:basedOn w:val="a0"/>
    <w:link w:val="ac"/>
    <w:uiPriority w:val="99"/>
    <w:rsid w:val="00FC1B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647319">
      <w:bodyDiv w:val="1"/>
      <w:marLeft w:val="0"/>
      <w:marRight w:val="0"/>
      <w:marTop w:val="0"/>
      <w:marBottom w:val="0"/>
      <w:divBdr>
        <w:top w:val="none" w:sz="0" w:space="0" w:color="auto"/>
        <w:left w:val="none" w:sz="0" w:space="0" w:color="auto"/>
        <w:bottom w:val="none" w:sz="0" w:space="0" w:color="auto"/>
        <w:right w:val="none" w:sz="0" w:space="0" w:color="auto"/>
      </w:divBdr>
    </w:div>
    <w:div w:id="396637466">
      <w:bodyDiv w:val="1"/>
      <w:marLeft w:val="0"/>
      <w:marRight w:val="0"/>
      <w:marTop w:val="0"/>
      <w:marBottom w:val="0"/>
      <w:divBdr>
        <w:top w:val="none" w:sz="0" w:space="0" w:color="auto"/>
        <w:left w:val="none" w:sz="0" w:space="0" w:color="auto"/>
        <w:bottom w:val="none" w:sz="0" w:space="0" w:color="auto"/>
        <w:right w:val="none" w:sz="0" w:space="0" w:color="auto"/>
      </w:divBdr>
    </w:div>
    <w:div w:id="468325608">
      <w:bodyDiv w:val="1"/>
      <w:marLeft w:val="0"/>
      <w:marRight w:val="0"/>
      <w:marTop w:val="0"/>
      <w:marBottom w:val="0"/>
      <w:divBdr>
        <w:top w:val="none" w:sz="0" w:space="0" w:color="auto"/>
        <w:left w:val="none" w:sz="0" w:space="0" w:color="auto"/>
        <w:bottom w:val="none" w:sz="0" w:space="0" w:color="auto"/>
        <w:right w:val="none" w:sz="0" w:space="0" w:color="auto"/>
      </w:divBdr>
    </w:div>
    <w:div w:id="574554952">
      <w:bodyDiv w:val="1"/>
      <w:marLeft w:val="0"/>
      <w:marRight w:val="0"/>
      <w:marTop w:val="0"/>
      <w:marBottom w:val="0"/>
      <w:divBdr>
        <w:top w:val="none" w:sz="0" w:space="0" w:color="auto"/>
        <w:left w:val="none" w:sz="0" w:space="0" w:color="auto"/>
        <w:bottom w:val="none" w:sz="0" w:space="0" w:color="auto"/>
        <w:right w:val="none" w:sz="0" w:space="0" w:color="auto"/>
      </w:divBdr>
    </w:div>
    <w:div w:id="808979214">
      <w:bodyDiv w:val="1"/>
      <w:marLeft w:val="0"/>
      <w:marRight w:val="0"/>
      <w:marTop w:val="0"/>
      <w:marBottom w:val="0"/>
      <w:divBdr>
        <w:top w:val="none" w:sz="0" w:space="0" w:color="auto"/>
        <w:left w:val="none" w:sz="0" w:space="0" w:color="auto"/>
        <w:bottom w:val="none" w:sz="0" w:space="0" w:color="auto"/>
        <w:right w:val="none" w:sz="0" w:space="0" w:color="auto"/>
      </w:divBdr>
    </w:div>
    <w:div w:id="1026252143">
      <w:bodyDiv w:val="1"/>
      <w:marLeft w:val="0"/>
      <w:marRight w:val="0"/>
      <w:marTop w:val="0"/>
      <w:marBottom w:val="0"/>
      <w:divBdr>
        <w:top w:val="none" w:sz="0" w:space="0" w:color="auto"/>
        <w:left w:val="none" w:sz="0" w:space="0" w:color="auto"/>
        <w:bottom w:val="none" w:sz="0" w:space="0" w:color="auto"/>
        <w:right w:val="none" w:sz="0" w:space="0" w:color="auto"/>
      </w:divBdr>
    </w:div>
    <w:div w:id="1335960556">
      <w:bodyDiv w:val="1"/>
      <w:marLeft w:val="0"/>
      <w:marRight w:val="0"/>
      <w:marTop w:val="0"/>
      <w:marBottom w:val="0"/>
      <w:divBdr>
        <w:top w:val="none" w:sz="0" w:space="0" w:color="auto"/>
        <w:left w:val="none" w:sz="0" w:space="0" w:color="auto"/>
        <w:bottom w:val="none" w:sz="0" w:space="0" w:color="auto"/>
        <w:right w:val="none" w:sz="0" w:space="0" w:color="auto"/>
      </w:divBdr>
    </w:div>
    <w:div w:id="1459182930">
      <w:bodyDiv w:val="1"/>
      <w:marLeft w:val="0"/>
      <w:marRight w:val="0"/>
      <w:marTop w:val="0"/>
      <w:marBottom w:val="0"/>
      <w:divBdr>
        <w:top w:val="none" w:sz="0" w:space="0" w:color="auto"/>
        <w:left w:val="none" w:sz="0" w:space="0" w:color="auto"/>
        <w:bottom w:val="none" w:sz="0" w:space="0" w:color="auto"/>
        <w:right w:val="none" w:sz="0" w:space="0" w:color="auto"/>
      </w:divBdr>
    </w:div>
    <w:div w:id="1692296696">
      <w:bodyDiv w:val="1"/>
      <w:marLeft w:val="0"/>
      <w:marRight w:val="0"/>
      <w:marTop w:val="0"/>
      <w:marBottom w:val="0"/>
      <w:divBdr>
        <w:top w:val="none" w:sz="0" w:space="0" w:color="auto"/>
        <w:left w:val="none" w:sz="0" w:space="0" w:color="auto"/>
        <w:bottom w:val="none" w:sz="0" w:space="0" w:color="auto"/>
        <w:right w:val="none" w:sz="0" w:space="0" w:color="auto"/>
      </w:divBdr>
    </w:div>
    <w:div w:id="1735665444">
      <w:bodyDiv w:val="1"/>
      <w:marLeft w:val="0"/>
      <w:marRight w:val="0"/>
      <w:marTop w:val="0"/>
      <w:marBottom w:val="0"/>
      <w:divBdr>
        <w:top w:val="none" w:sz="0" w:space="0" w:color="auto"/>
        <w:left w:val="none" w:sz="0" w:space="0" w:color="auto"/>
        <w:bottom w:val="none" w:sz="0" w:space="0" w:color="auto"/>
        <w:right w:val="none" w:sz="0" w:space="0" w:color="auto"/>
      </w:divBdr>
    </w:div>
    <w:div w:id="1805195682">
      <w:bodyDiv w:val="1"/>
      <w:marLeft w:val="0"/>
      <w:marRight w:val="0"/>
      <w:marTop w:val="0"/>
      <w:marBottom w:val="0"/>
      <w:divBdr>
        <w:top w:val="none" w:sz="0" w:space="0" w:color="auto"/>
        <w:left w:val="none" w:sz="0" w:space="0" w:color="auto"/>
        <w:bottom w:val="none" w:sz="0" w:space="0" w:color="auto"/>
        <w:right w:val="none" w:sz="0" w:space="0" w:color="auto"/>
      </w:divBdr>
    </w:div>
    <w:div w:id="206926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911</Words>
  <Characters>5199</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2026-06-04T23:59:00Z</dcterms:created>
  <dcterms:modified xsi:type="dcterms:W3CDTF">2026-06-05T00:09:00Z</dcterms:modified>
</cp:coreProperties>
</file>